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60"/></w:pPr><w:r><w:rPr><w:color w:val="1A1A2E"/><w:sz w:val="40"/><w:szCs w:val="40"/><w:b w:val="1"/><w:bCs w:val="1"/></w:rPr><w:t xml:space="preserve">EXPENSES — SOP</w:t></w:r></w:p><w:p><w:pPr><w:spacing w:after="200"/></w:pPr><w:r><w:rPr><w:color w:val="888888"/><w:sz w:val="18"/><w:szCs w:val="18"/></w:rPr><w:t xml:space="preserve">Generated 26 Sep 2026</w:t></w:r></w:p><w:tbl><w:tblGrid><w:gridCol w:w="9000" w:type="dxa"/></w:tblGrid><w:tblPr><w:tblW w:w="0" w:type="auto"/><w:tblLayout w:type="autofit"/><w:tblCellMar><w:top w:w="120" w:type="dxa"/><w:left w:w="120" w:type="dxa"/><w:right w:w="120" w:type="dxa"/><w:bottom w:w="12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cPr><w:shd w:val="clear" w:fill="F0EEFF"/></w:tcPr><w:tr><w:trPr/><w:tc><w:tcPr><w:tcW w:w="9000" w:type="dxa"/><w:shd w:val="clear" w:fill="F0EEFF"/><w:noWrap/></w:tcPr><w:p><w:pPr/><w:r><w:rPr><w:color w:val="4B3FCF"/><w:i w:val="1"/><w:iCs w:val="1"/></w:rPr><w:t xml:space="preserve">Track business spending — quick-add with automatic category/GST suggestions, budget tracking, vendor breakdown, GST ITC, recurring charges, and client-linked profitability.</w:t></w:r></w:p></w:tc></w:tr></w:tbl><w:p/><w:p><w:pPr><w:spacing w:after="100"/></w:pPr><w:r><w:rPr><w:color w:val="6C63FF"/><w:sz w:val="20"/><w:szCs w:val="20"/><w:b w:val="1"/><w:bCs w:val="1"/></w:rPr><w:t xml:space="preserve">SECTIONS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➕  Overview</w:t></w:r></w:p><w:p><w:pPr/><w:r><w:rPr><w:color w:val="565B66"/><w:sz w:val="20"/><w:szCs w:val="20"/></w:rPr><w:t xml:space="preserve">This month/last month/top category/all-time KPIs, plus the full searchable, filterable expense list.</w:t></w:r></w:p></w:tc></w:tr><w:tr><w:trPr/><w:tc><w:tcPr><w:tcW w:w="9000" w:type="dxa"/><w:noWrap/></w:tcPr><w:p><w:pPr/><w:r><w:rPr><w:color w:val="1A1A2E"/><w:sz w:val="22"/><w:szCs w:val="22"/><w:b w:val="1"/><w:bCs w:val="1"/></w:rPr><w:t xml:space="preserve">💰  Budget & Vendors</w:t></w:r></w:p><w:p><w:pPr/><w:r><w:rPr><w:color w:val="565B66"/><w:sz w:val="20"/><w:szCs w:val="20"/></w:rPr><w:t xml:space="preserve">Monthly budget vs actual per category, and your top vendors by spend.</w:t></w:r></w:p></w:tc></w:tr><w:tr><w:trPr/><w:tc><w:tcPr><w:tcW w:w="9000" w:type="dxa"/><w:noWrap/></w:tcPr><w:p><w:pPr/><w:r><w:rPr><w:color w:val="1A1A2E"/><w:sz w:val="22"/><w:szCs w:val="22"/><w:b w:val="1"/><w:bCs w:val="1"/></w:rPr><w:t xml:space="preserve">📊  Trends & GST</w:t></w:r></w:p><w:p><w:pPr/><w:r><w:rPr><w:color w:val="565B66"/><w:sz w:val="20"/><w:szCs w:val="20"/></w:rPr><w:t xml:space="preserve">Category breakdown, 6-month spend trend, and GST ITC claimable + filing summary.</w:t></w:r></w:p></w:tc></w:tr><w:tr><w:trPr/><w:tc><w:tcPr><w:tcW w:w="9000" w:type="dxa"/><w:noWrap/></w:tcPr><w:p><w:pPr/><w:r><w:rPr><w:color w:val="1A1A2E"/><w:sz w:val="22"/><w:szCs w:val="22"/><w:b w:val="1"/><w:bCs w:val="1"/></w:rPr><w:t xml:space="preserve">🔄  Recurring</w:t></w:r></w:p><w:p><w:pPr/><w:r><w:rPr><w:color w:val="565B66"/><w:sz w:val="20"/><w:szCs w:val="20"/></w:rPr><w:t xml:space="preserve">Auto-repeating charges (rent, subscriptions) — set once, generated automatically on schedule.</w:t></w:r></w:p></w:tc></w:tr><w:tr><w:trPr/><w:tc><w:tcPr><w:tcW w:w="9000" w:type="dxa"/><w:noWrap/></w:tcPr><w:p><w:pPr/><w:r><w:rPr><w:color w:val="1A1A2E"/><w:sz w:val="22"/><w:szCs w:val="22"/><w:b w:val="1"/><w:bCs w:val="1"/></w:rPr><w:t xml:space="preserve">💼  Clients</w:t></w:r></w:p><w:p><w:pPr/><w:r><w:rPr><w:color w:val="565B66"/><w:sz w:val="20"/><w:szCs w:val="20"/></w:rPr><w:t xml:space="preserve">Expenses linked to a client, with revenue and net profit per client.</w:t></w:r></w:p></w:tc></w:tr></w:tbl><w:p/><w:p><w:pPr><w:spacing w:after="100"/></w:pPr><w:r><w:rPr><w:color w:val="6C63FF"/><w:sz w:val="20"/><w:szCs w:val="20"/><w:b w:val="1"/><w:bCs w:val="1"/></w:rPr><w:t xml:space="preserve">STEP-BY-STEP WORKFLOW</w:t></w:r></w:p><w:tbl><w:tblGrid><w:gridCol w:w="700" w:type="dxa"/><w:gridCol w:w="83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1</w:t></w:r></w:p></w:tc><w:tc><w:tcPr><w:tcW w:w="8300" w:type="dxa"/><w:noWrap/></w:tcPr><w:p><w:pPr/><w:r><w:rPr><w:color w:val="1A1A2E"/><w:sz w:val="21"/><w:szCs w:val="21"/></w:rPr><w:t xml:space="preserve">Click 'Add Expense' at the top any time — category and GST-eligibility are suggested automatically as you type the title.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2</w:t></w:r></w:p></w:tc><w:tc><w:tcPr><w:tcW w:w="8300" w:type="dxa"/><w:noWrap/></w:tcPr><w:p><w:pPr/><w:r><w:rPr><w:color w:val="1A1A2E"/><w:sz w:val="21"/><w:szCs w:val="21"/></w:rPr><w:t xml:space="preserve">Check Budget & Vendors to see how this month is tracking against what you've set.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3</w:t></w:r></w:p></w:tc><w:tc><w:tcPr><w:tcW w:w="8300" w:type="dxa"/><w:noWrap/></w:tcPr><w:p><w:pPr/><w:r><w:rPr><w:color w:val="1A1A2E"/><w:sz w:val="21"/><w:szCs w:val="21"/></w:rPr><w:t xml:space="preserve">Trends & GST for the bigger picture — spend over time and what's claimable as GST ITC.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4</w:t></w:r></w:p></w:tc><w:tc><w:tcPr><w:tcW w:w="8300" w:type="dxa"/><w:noWrap/></w:tcPr><w:p><w:pPr/><w:r><w:rPr><w:color w:val="1A1A2E"/><w:sz w:val="21"/><w:szCs w:val="21"/></w:rPr><w:t xml:space="preserve">Set up Recurring for anything that repeats on its own from then on.</w:t></w:r></w:p></w:tc></w:tr></w:tbl><w:p><w:pPr><w:spacing w:after="100"/></w:pPr><w:r><w:rPr><w:color w:val="6C63FF"/><w:sz w:val="20"/><w:szCs w:val="20"/><w:b w:val="1"/><w:bCs w:val="1"/></w:rPr><w:t xml:space="preserve">CONNECTIONS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🔗 AI CFO</w:t></w:r></w:p><w:p><w:pPr/><w:r><w:rPr><w:color w:val="565B66"/><w:sz w:val="20"/><w:szCs w:val="20"/></w:rPr><w:t xml:space="preserve">Every expense category, this month's spend, and P&L costs are read live from here by AI CFO — nothing to re-enter or keep in sync on that side.</w:t></w:r></w:p></w:tc></w:tr><w:tr><w:trPr/><w:tc><w:tcPr><w:tcW w:w="9000" w:type="dxa"/><w:noWrap/></w:tcPr><w:p><w:pPr/><w:r><w:rPr><w:color w:val="1A1A2E"/><w:sz w:val="22"/><w:szCs w:val="22"/><w:b w:val="1"/><w:bCs w:val="1"/></w:rPr><w:t xml:space="preserve">🔗 Bank</w:t></w:r></w:p><w:p><w:pPr/><w:r><w:rPr><w:color w:val="565B66"/><w:sz w:val="20"/><w:szCs w:val="20"/></w:rPr><w:t xml:space="preserve">Picking a bank account on an expense auto-creates a matching debit transaction in Bank — the ledger and this list can never drift apart.</w:t></w:r></w:p></w:tc></w:tr><w:tr><w:trPr/><w:tc><w:tcPr><w:tcW w:w="9000" w:type="dxa"/><w:noWrap/></w:tcPr><w:p><w:pPr/><w:r><w:rPr><w:color w:val="1A1A2E"/><w:sz w:val="22"/><w:szCs w:val="22"/><w:b w:val="1"/><w:bCs w:val="1"/></w:rPr><w:t xml:space="preserve">🔗 Salary</w:t></w:r></w:p><w:p><w:pPr/><w:r><w:rPr><w:color w:val="565B66"/><w:sz w:val="20"/><w:szCs w:val="20"/></w:rPr><w:t xml:space="preserve">Marking a salary paid there auto-creates a matching expense row here (category Salary) — payroll spend shows up the same day it's paid, no manual double-entry.</w:t></w:r></w:p></w:tc></w:tr><w:tr><w:trPr/><w:tc><w:tcPr><w:tcW w:w="9000" w:type="dxa"/><w:noWrap/></w:tcPr><w:p><w:pPr/><w:r><w:rPr><w:color w:val="1A1A2E"/><w:sz w:val="22"/><w:szCs w:val="22"/><w:b w:val="1"/><w:bCs w:val="1"/></w:rPr><w:t xml:space="preserve">🔗 Vendor Payments</w:t></w:r></w:p><w:p><w:pPr/><w:r><w:rPr><w:color w:val="565B66"/><w:sz w:val="20"/><w:szCs w:val="20"/></w:rPr><w:t xml:space="preserve">Same auto-create-expense behavior as Salary — a vendor payment marked paid there becomes a real expense here automatically.</w:t></w:r></w:p></w:tc></w:tr><w:tr><w:trPr/><w:tc><w:tcPr><w:tcW w:w="9000" w:type="dxa"/><w:noWrap/></w:tcPr><w:p><w:pPr/><w:r><w:rPr><w:color w:val="1A1A2E"/><w:sz w:val="22"/><w:szCs w:val="22"/><w:b w:val="1"/><w:bCs w:val="1"/></w:rPr><w:t xml:space="preserve">🔗 Leads</w:t></w:r></w:p><w:p><w:pPr/><w:r><w:rPr><w:color w:val="565B66"/><w:sz w:val="20"/><w:szCs w:val="20"/></w:rPr><w:t xml:space="preserve">Linking an expense to a client here (a Lead) is what powers the Clients tab's per-client spend and profitability view.</w:t></w:r></w:p></w:tc></w:tr><w:tr><w:trPr/><w:tc><w:tcPr><w:tcW w:w="9000" w:type="dxa"/><w:noWrap/></w:tcPr><w:p><w:pPr/><w:r><w:rPr><w:color w:val="1A1A2E"/><w:sz w:val="22"/><w:szCs w:val="22"/><w:b w:val="1"/><w:bCs w:val="1"/></w:rPr><w:t xml:space="preserve">🔗 Invoice</w:t></w:r></w:p><w:p><w:pPr/><w:r><w:rPr><w:color w:val="565B66"/><w:sz w:val="20"/><w:szCs w:val="20"/></w:rPr><w:t xml:space="preserve">The Clients tab's Revenue and Net Profit columns read that client's paid invoices live from Invoice — always current, never a manually-typed figure.</w:t></w:r></w:p></w:tc></w:tr></w:tbl><w:p/><w:p/><w:p/><w:p><w:pPr/><w:r><w:rPr><w:color w:val="AAAAAA"/><w:sz w:val="16"/><w:szCs w:val="16"/></w:rPr><w:t xml:space="preserve">This SOP is confidential and for internal use only.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2026-09-26T05:11:05+00:00</dcterms:created>
  <dcterms:modified xsi:type="dcterms:W3CDTF">2026-09-26T05:11:05+00:00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