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FINANCIAL DATA — 6 MONTH TREND</w:t>
      </w:r>
    </w:p>
    <w:p>
      <w:pPr>
        <w:spacing w:after="40"/>
      </w:pPr>
      <w:r>
        <w:rPr>
          <w:color w:val="666666"/>
          <w:sz w:val="18"/>
          <w:szCs w:val="18"/>
        </w:rPr>
        <w:t xml:space="preserve">AI CFO · 26 Sep 2026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6 records · Generated 26 Sep 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Month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Revenue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Expenses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Profit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Invoices Count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Collection Rate 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Apr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May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Jun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Jul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Aug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Sep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₹325,977.00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₹10,859.00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₹315,118.00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15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90.8%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2026-09-26T05:08:58+00:00</dcterms:created>
  <dcterms:modified xsi:type="dcterms:W3CDTF">2026-09-26T05:08:58+00:00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